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A63" w:rsidRDefault="00647906" w:rsidP="00192DC1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137160</wp:posOffset>
                </wp:positionV>
                <wp:extent cx="2654300" cy="60579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A63" w:rsidRDefault="00A05A63" w:rsidP="00984884">
                            <w:pPr>
                              <w:rPr>
                                <w:rFonts w:ascii="Arial" w:hAnsi="Arial" w:cs="Arial"/>
                                <w:b/>
                                <w:color w:val="723288"/>
                                <w:sz w:val="36"/>
                                <w:szCs w:val="36"/>
                              </w:rPr>
                            </w:pPr>
                            <w:r w:rsidRPr="00984884">
                              <w:rPr>
                                <w:rFonts w:ascii="Arial" w:hAnsi="Arial" w:cs="Arial"/>
                                <w:b/>
                                <w:color w:val="723288"/>
                                <w:sz w:val="36"/>
                                <w:szCs w:val="36"/>
                              </w:rPr>
                              <w:t>Tisková zpráva</w:t>
                            </w:r>
                          </w:p>
                          <w:p w:rsidR="00A05A63" w:rsidRPr="00984884" w:rsidRDefault="00300E4A" w:rsidP="00984884">
                            <w:pPr>
                              <w:rPr>
                                <w:rFonts w:ascii="Arial" w:hAnsi="Arial" w:cs="Arial"/>
                                <w:b/>
                                <w:color w:val="72328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23288"/>
                                <w:sz w:val="28"/>
                                <w:szCs w:val="28"/>
                              </w:rPr>
                              <w:t>4. 5</w:t>
                            </w:r>
                            <w:r w:rsidR="0010008E">
                              <w:rPr>
                                <w:rFonts w:ascii="Arial" w:hAnsi="Arial" w:cs="Arial"/>
                                <w:b/>
                                <w:color w:val="723288"/>
                                <w:sz w:val="28"/>
                                <w:szCs w:val="28"/>
                              </w:rPr>
                              <w:t>.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0.25pt;margin-top:10.8pt;width:209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FWtg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" filled="f" stroked="f">
                <v:textbox>
                  <w:txbxContent>
                    <w:p w:rsidR="00A05A63" w:rsidRDefault="00A05A63" w:rsidP="00984884">
                      <w:pPr>
                        <w:rPr>
                          <w:rFonts w:ascii="Arial" w:hAnsi="Arial" w:cs="Arial"/>
                          <w:b/>
                          <w:color w:val="723288"/>
                          <w:sz w:val="36"/>
                          <w:szCs w:val="36"/>
                        </w:rPr>
                      </w:pPr>
                      <w:r w:rsidRPr="00984884">
                        <w:rPr>
                          <w:rFonts w:ascii="Arial" w:hAnsi="Arial" w:cs="Arial"/>
                          <w:b/>
                          <w:color w:val="723288"/>
                          <w:sz w:val="36"/>
                          <w:szCs w:val="36"/>
                        </w:rPr>
                        <w:t>Tisková zpráva</w:t>
                      </w:r>
                    </w:p>
                    <w:p w:rsidR="00A05A63" w:rsidRPr="00984884" w:rsidRDefault="00300E4A" w:rsidP="00984884">
                      <w:pPr>
                        <w:rPr>
                          <w:rFonts w:ascii="Arial" w:hAnsi="Arial" w:cs="Arial"/>
                          <w:b/>
                          <w:color w:val="723288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23288"/>
                          <w:sz w:val="28"/>
                          <w:szCs w:val="28"/>
                        </w:rPr>
                        <w:t>4. 5</w:t>
                      </w:r>
                      <w:r w:rsidR="0010008E">
                        <w:rPr>
                          <w:rFonts w:ascii="Arial" w:hAnsi="Arial" w:cs="Arial"/>
                          <w:b/>
                          <w:color w:val="723288"/>
                          <w:sz w:val="28"/>
                          <w:szCs w:val="28"/>
                        </w:rPr>
                        <w:t>. 2016</w:t>
                      </w:r>
                    </w:p>
                  </w:txbxContent>
                </v:textbox>
              </v:shape>
            </w:pict>
          </mc:Fallback>
        </mc:AlternateContent>
      </w:r>
    </w:p>
    <w:p w:rsidR="00A05A63" w:rsidRDefault="00A05A63" w:rsidP="00192DC1">
      <w:pPr>
        <w:rPr>
          <w:rFonts w:ascii="Arial" w:hAnsi="Arial" w:cs="Arial"/>
          <w:b/>
          <w:sz w:val="28"/>
          <w:szCs w:val="28"/>
        </w:rPr>
      </w:pPr>
    </w:p>
    <w:p w:rsidR="00A05A63" w:rsidRDefault="00A05A63" w:rsidP="00984884"/>
    <w:p w:rsidR="00A05A63" w:rsidRDefault="00A05A63" w:rsidP="00192DC1">
      <w:pPr>
        <w:rPr>
          <w:rFonts w:ascii="Arial" w:hAnsi="Arial" w:cs="Arial"/>
          <w:b/>
          <w:sz w:val="28"/>
          <w:szCs w:val="28"/>
        </w:rPr>
      </w:pPr>
    </w:p>
    <w:p w:rsidR="00A05A63" w:rsidRPr="000A42CF" w:rsidRDefault="00647906" w:rsidP="000A42C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60325</wp:posOffset>
                </wp:positionV>
                <wp:extent cx="5369560" cy="7454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9560" cy="745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EE1" w:rsidRDefault="00261EE1" w:rsidP="00300E4A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00E4A" w:rsidRPr="00300E4A" w:rsidRDefault="00300E4A" w:rsidP="00300E4A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300E4A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Prahu budou v Evropě propagovat autobusy</w:t>
                            </w:r>
                          </w:p>
                          <w:p w:rsidR="00300E4A" w:rsidRDefault="00300E4A" w:rsidP="00300E4A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300E4A" w:rsidRPr="00300E4A" w:rsidRDefault="00300E4A" w:rsidP="00300E4A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300E4A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Po úspěšné kampani realizované s Českými aeroliniemi uzavřel Prague City </w:t>
                            </w:r>
                            <w:r w:rsidR="009249E7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Tourism nově spolupráci také s dopravní </w:t>
                            </w:r>
                            <w:r w:rsidRPr="00300E4A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společností Vega Tour. Panorama Hradčan, které je stěžejní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m motivem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livery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Airbusu 319, </w:t>
                            </w:r>
                            <w:r w:rsidRPr="00300E4A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nese od května 2016 do dubna 2017 rovně</w:t>
                            </w:r>
                            <w:r w:rsidR="00F3452B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ž flotila 20 luxusních autobusů</w:t>
                            </w:r>
                            <w:r w:rsidRPr="00300E4A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bookmarkStart w:id="0" w:name="_GoBack"/>
                            <w:bookmarkEnd w:id="0"/>
                          </w:p>
                          <w:p w:rsidR="00300E4A" w:rsidRDefault="00300E4A" w:rsidP="00300E4A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963104" w:rsidRDefault="00963104" w:rsidP="00300E4A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Osmnáct </w:t>
                            </w:r>
                            <w:r w:rsidR="008E7E4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z nich je</w:t>
                            </w:r>
                            <w:r w:rsidR="00300E4A" w:rsidRPr="00300E4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vyu</w:t>
                            </w:r>
                            <w:r w:rsidR="008E7E4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žíváno k cestám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po Evropě, dva</w:t>
                            </w:r>
                            <w:r w:rsidR="00300E4A" w:rsidRPr="00300E4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autobus</w:t>
                            </w:r>
                            <w:r w:rsidR="008E7E4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y Vega Tour pronajímá</w:t>
                            </w:r>
                            <w:r w:rsidR="00300E4A" w:rsidRPr="00300E4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7E4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zájemcům o dopravu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v rámci České republiky</w:t>
                            </w:r>
                            <w:r w:rsidR="00300E4A" w:rsidRPr="00300E4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49E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utokary během nadcházejícího roku objedou vš</w:t>
                            </w:r>
                            <w:r w:rsidR="00261EE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echny evropské metropole. Č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ást flotily bude využívána p</w:t>
                            </w:r>
                            <w:r w:rsidR="009249E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ro </w:t>
                            </w:r>
                            <w:r w:rsidR="00261EE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cesty po Skandinávii, další bude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křižovat trasu mezi Londýne</w:t>
                            </w:r>
                            <w:r w:rsidR="009249E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m a </w:t>
                            </w:r>
                            <w:r w:rsidR="00261EE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Římem nebo</w:t>
                            </w:r>
                            <w:r w:rsidR="009249E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sloužit k přepravě do středomořských turistických rezortů.</w:t>
                            </w:r>
                          </w:p>
                          <w:p w:rsidR="00963104" w:rsidRDefault="00963104" w:rsidP="00300E4A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A52AD2" w:rsidRDefault="00963104" w:rsidP="00300E4A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A52AD2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„Společnost Vega Tour obvykle plochy na svých autobusech komerčně nepronajímá, v případě </w:t>
                            </w:r>
                            <w:r w:rsidR="00A52AD2" w:rsidRPr="00A52AD2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Prahy však učinila výjimku. Prague</w:t>
                            </w:r>
                            <w:r w:rsidR="00A52AD2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 City Tourism uhradil pouze náklady n</w:t>
                            </w:r>
                            <w:r w:rsidR="00A52AD2" w:rsidRPr="00A52AD2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a výrobu polepu ve výši zhruba 200 tisíc korun. </w:t>
                            </w:r>
                            <w:r w:rsidRPr="00A52AD2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Je to vůbec poprvé, k</w:t>
                            </w:r>
                            <w:r w:rsidR="008E7E4F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dy se soukromá společnost </w:t>
                            </w:r>
                            <w:r w:rsidRPr="00A52AD2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rozhodla </w:t>
                            </w:r>
                            <w:r w:rsidR="008E7E4F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takto </w:t>
                            </w:r>
                            <w:r w:rsidRPr="00A52AD2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podpořit cestovní ruch </w:t>
                            </w:r>
                            <w:r w:rsidR="008E7E4F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do </w:t>
                            </w:r>
                            <w:r w:rsidRPr="00A52AD2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Prahy</w:t>
                            </w:r>
                            <w:r w:rsidR="008E7E4F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="00A52AD2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8E7E4F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 jsem za to nesmírně ráda. Tímto způsobem</w:t>
                            </w:r>
                            <w:r w:rsidR="00A52AD2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 by podle mého soudu měla ideálně fungovat spolupráce mezi soukromým </w:t>
                            </w:r>
                            <w:r w:rsidR="004623AB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a neziskovým sektorem v cestovním</w:t>
                            </w:r>
                            <w:r w:rsidR="00A52AD2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 ruchu,“ </w:t>
                            </w:r>
                            <w:r w:rsidR="00A52AD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uvádí ředitelka Prague City Tourism </w:t>
                            </w:r>
                            <w:r w:rsidR="00A52AD2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Nora Dolanská</w:t>
                            </w:r>
                            <w:r w:rsidR="00A52AD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52AD2" w:rsidRDefault="00A52AD2" w:rsidP="00300E4A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A52AD2" w:rsidRDefault="00A52AD2" w:rsidP="00300E4A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V současné </w:t>
                            </w:r>
                            <w:r w:rsidR="00261EE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chvíli zvažuje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Prague City Tourism rovněž spolupráci s 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Austrian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1EE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Airlines, které plánují vybraná letadla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pojmenovat po městech střední Evropy.</w:t>
                            </w:r>
                            <w:r w:rsidR="00261EE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61EE1" w:rsidRDefault="00261EE1" w:rsidP="00300E4A">
                            <w:pPr>
                              <w:spacing w:line="360" w:lineRule="auto"/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963104" w:rsidRPr="00A52AD2" w:rsidRDefault="00963104" w:rsidP="00300E4A">
                            <w:pPr>
                              <w:spacing w:line="360" w:lineRule="auto"/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</w:pPr>
                            <w:r w:rsidRPr="00A52AD2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8C1F30" w:rsidRDefault="008C1F30" w:rsidP="008D5D4F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A05A63" w:rsidRPr="008D5D4F" w:rsidRDefault="00A05A63" w:rsidP="008D5D4F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A05A63" w:rsidRPr="008D5D4F" w:rsidRDefault="00A05A63" w:rsidP="008D5D4F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A05A63" w:rsidRPr="008D5D4F" w:rsidRDefault="00A05A63" w:rsidP="008D5D4F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A05A63" w:rsidRPr="00D35D67" w:rsidRDefault="00A05A63" w:rsidP="00D35D67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A05A63" w:rsidRPr="00D35D67" w:rsidRDefault="00A05A63" w:rsidP="00D35D67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A05A63" w:rsidRPr="00D35D67" w:rsidRDefault="00A05A63" w:rsidP="00D35D67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A05A63" w:rsidRPr="00D35D67" w:rsidRDefault="00A05A63" w:rsidP="00D35D67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A05A63" w:rsidRDefault="00A05A63" w:rsidP="000C7BB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A05A63" w:rsidRDefault="00A05A63" w:rsidP="000C7BB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A05A63" w:rsidRDefault="00A05A63" w:rsidP="000C7BB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A05A63" w:rsidRPr="00AD65FF" w:rsidRDefault="00A05A63" w:rsidP="000C7BB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A05A63" w:rsidRPr="001673DA" w:rsidRDefault="00A05A63" w:rsidP="00A677A5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A05A63" w:rsidRPr="001673DA" w:rsidRDefault="00A05A63" w:rsidP="00A677A5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A05A63" w:rsidRPr="001673DA" w:rsidRDefault="00A05A63" w:rsidP="00A677A5">
                            <w:pPr>
                              <w:spacing w:line="360" w:lineRule="auto"/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05A63" w:rsidRPr="001673DA" w:rsidRDefault="00A05A63" w:rsidP="0098488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05A63" w:rsidRPr="001673DA" w:rsidRDefault="00A05A63" w:rsidP="0098488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0.3pt;margin-top:4.75pt;width:422.8pt;height:5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zkTugIAAME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" filled="f" stroked="f">
                <v:textbox>
                  <w:txbxContent>
                    <w:p w:rsidR="00261EE1" w:rsidRDefault="00261EE1" w:rsidP="00300E4A">
                      <w:pPr>
                        <w:spacing w:line="360" w:lineRule="auto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  <w:p w:rsidR="00300E4A" w:rsidRPr="00300E4A" w:rsidRDefault="00300E4A" w:rsidP="00300E4A">
                      <w:pPr>
                        <w:spacing w:line="360" w:lineRule="auto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300E4A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Prahu budou v Evropě propagovat autobusy</w:t>
                      </w:r>
                    </w:p>
                    <w:p w:rsidR="00300E4A" w:rsidRDefault="00300E4A" w:rsidP="00300E4A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300E4A" w:rsidRPr="00300E4A" w:rsidRDefault="00300E4A" w:rsidP="00300E4A">
                      <w:pPr>
                        <w:spacing w:line="360" w:lineRule="auto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300E4A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Po úspěšné kampani realizované s Českými aeroliniemi uzavřel Prague City </w:t>
                      </w:r>
                      <w:r w:rsidR="009249E7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Tourism nově spolupráci také s dopravní </w:t>
                      </w:r>
                      <w:r w:rsidRPr="00300E4A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společností Vega Tour. Panorama Hradčan, které je stěžejní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m motivem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livery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Airbusu 319, </w:t>
                      </w:r>
                      <w:r w:rsidRPr="00300E4A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nese od května 2016 do dubna 2017 rovně</w:t>
                      </w:r>
                      <w:r w:rsidR="00F3452B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ž flotila 20 luxusních autobusů</w:t>
                      </w:r>
                      <w:r w:rsidRPr="00300E4A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. </w:t>
                      </w:r>
                      <w:bookmarkStart w:id="1" w:name="_GoBack"/>
                      <w:bookmarkEnd w:id="1"/>
                    </w:p>
                    <w:p w:rsidR="00300E4A" w:rsidRDefault="00300E4A" w:rsidP="00300E4A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963104" w:rsidRDefault="00963104" w:rsidP="00300E4A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Osmnáct </w:t>
                      </w:r>
                      <w:r w:rsidR="008E7E4F">
                        <w:rPr>
                          <w:rFonts w:ascii="Arial" w:hAnsi="Arial"/>
                          <w:sz w:val="20"/>
                          <w:szCs w:val="20"/>
                        </w:rPr>
                        <w:t>z nich je</w:t>
                      </w:r>
                      <w:r w:rsidR="00300E4A" w:rsidRPr="00300E4A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vyu</w:t>
                      </w:r>
                      <w:r w:rsidR="008E7E4F">
                        <w:rPr>
                          <w:rFonts w:ascii="Arial" w:hAnsi="Arial"/>
                          <w:sz w:val="20"/>
                          <w:szCs w:val="20"/>
                        </w:rPr>
                        <w:t>žíváno k cestám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po Evropě, dva</w:t>
                      </w:r>
                      <w:r w:rsidR="00300E4A" w:rsidRPr="00300E4A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autobus</w:t>
                      </w:r>
                      <w:r w:rsidR="008E7E4F">
                        <w:rPr>
                          <w:rFonts w:ascii="Arial" w:hAnsi="Arial"/>
                          <w:sz w:val="20"/>
                          <w:szCs w:val="20"/>
                        </w:rPr>
                        <w:t>y Vega Tour pronajímá</w:t>
                      </w:r>
                      <w:r w:rsidR="00300E4A" w:rsidRPr="00300E4A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="008E7E4F">
                        <w:rPr>
                          <w:rFonts w:ascii="Arial" w:hAnsi="Arial"/>
                          <w:sz w:val="20"/>
                          <w:szCs w:val="20"/>
                        </w:rPr>
                        <w:t>zájemcům o dopravu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v rámci České republiky</w:t>
                      </w:r>
                      <w:r w:rsidR="00300E4A" w:rsidRPr="00300E4A">
                        <w:rPr>
                          <w:rFonts w:ascii="Arial" w:hAnsi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="009249E7">
                        <w:rPr>
                          <w:rFonts w:ascii="Arial" w:hAnsi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utokary během nadcházejícího roku objedou vš</w:t>
                      </w:r>
                      <w:r w:rsidR="00261EE1">
                        <w:rPr>
                          <w:rFonts w:ascii="Arial" w:hAnsi="Arial"/>
                          <w:sz w:val="20"/>
                          <w:szCs w:val="20"/>
                        </w:rPr>
                        <w:t>echny evropské metropole. Č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ást flotily bude využívána p</w:t>
                      </w:r>
                      <w:r w:rsidR="009249E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ro </w:t>
                      </w:r>
                      <w:r w:rsidR="00261EE1">
                        <w:rPr>
                          <w:rFonts w:ascii="Arial" w:hAnsi="Arial"/>
                          <w:sz w:val="20"/>
                          <w:szCs w:val="20"/>
                        </w:rPr>
                        <w:t>cesty po Skandinávii, další bude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křižovat trasu mezi Londýne</w:t>
                      </w:r>
                      <w:r w:rsidR="009249E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m a </w:t>
                      </w:r>
                      <w:r w:rsidR="00261EE1">
                        <w:rPr>
                          <w:rFonts w:ascii="Arial" w:hAnsi="Arial"/>
                          <w:sz w:val="20"/>
                          <w:szCs w:val="20"/>
                        </w:rPr>
                        <w:t>Římem nebo</w:t>
                      </w:r>
                      <w:r w:rsidR="009249E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sloužit k přepravě do středomořských turistických rezortů.</w:t>
                      </w:r>
                    </w:p>
                    <w:p w:rsidR="00963104" w:rsidRDefault="00963104" w:rsidP="00300E4A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A52AD2" w:rsidRDefault="00963104" w:rsidP="00300E4A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A52AD2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„Společnost Vega Tour obvykle plochy na svých autobusech komerčně nepronajímá, v případě </w:t>
                      </w:r>
                      <w:r w:rsidR="00A52AD2" w:rsidRPr="00A52AD2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Prahy však učinila výjimku. Prague</w:t>
                      </w:r>
                      <w:r w:rsidR="00A52AD2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 City Tourism uhradil pouze náklady n</w:t>
                      </w:r>
                      <w:r w:rsidR="00A52AD2" w:rsidRPr="00A52AD2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a výrobu polepu ve výši zhruba 200 tisíc korun. </w:t>
                      </w:r>
                      <w:r w:rsidRPr="00A52AD2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Je to vůbec poprvé, k</w:t>
                      </w:r>
                      <w:r w:rsidR="008E7E4F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dy se soukromá společnost </w:t>
                      </w:r>
                      <w:r w:rsidRPr="00A52AD2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rozhodla </w:t>
                      </w:r>
                      <w:r w:rsidR="008E7E4F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takto </w:t>
                      </w:r>
                      <w:r w:rsidRPr="00A52AD2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podpořit cestovní ruch </w:t>
                      </w:r>
                      <w:r w:rsidR="008E7E4F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do </w:t>
                      </w:r>
                      <w:r w:rsidRPr="00A52AD2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Prahy</w:t>
                      </w:r>
                      <w:r w:rsidR="008E7E4F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,</w:t>
                      </w:r>
                      <w:r w:rsidR="00A52AD2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 a</w:t>
                      </w:r>
                      <w:r w:rsidR="008E7E4F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 jsem za to nesmírně ráda. Tímto způsobem</w:t>
                      </w:r>
                      <w:r w:rsidR="00A52AD2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 by podle mého soudu měla ideálně fungovat spolupráce mezi soukromým </w:t>
                      </w:r>
                      <w:r w:rsidR="004623AB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a neziskovým sektorem v cestovním</w:t>
                      </w:r>
                      <w:r w:rsidR="00A52AD2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 ruchu,“ </w:t>
                      </w:r>
                      <w:r w:rsidR="00A52AD2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uvádí ředitelka Prague City Tourism </w:t>
                      </w:r>
                      <w:r w:rsidR="00A52AD2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Nora Dolanská</w:t>
                      </w:r>
                      <w:r w:rsidR="00A52AD2">
                        <w:rPr>
                          <w:rFonts w:ascii="Arial" w:hAnsi="Arial"/>
                          <w:sz w:val="20"/>
                          <w:szCs w:val="20"/>
                        </w:rPr>
                        <w:t>.</w:t>
                      </w:r>
                    </w:p>
                    <w:p w:rsidR="00A52AD2" w:rsidRDefault="00A52AD2" w:rsidP="00300E4A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A52AD2" w:rsidRDefault="00A52AD2" w:rsidP="00300E4A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V současné </w:t>
                      </w:r>
                      <w:r w:rsidR="00261EE1">
                        <w:rPr>
                          <w:rFonts w:ascii="Arial" w:hAnsi="Arial"/>
                          <w:sz w:val="20"/>
                          <w:szCs w:val="20"/>
                        </w:rPr>
                        <w:t>chvíli zvažuje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Prague City Tourism rovněž spolupráci s 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Austrian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="00261EE1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Airlines, které plánují vybraná letadla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pojmenovat po městech střední Evropy.</w:t>
                      </w:r>
                      <w:r w:rsidR="00261EE1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61EE1" w:rsidRDefault="00261EE1" w:rsidP="00300E4A">
                      <w:pPr>
                        <w:spacing w:line="360" w:lineRule="auto"/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</w:pPr>
                    </w:p>
                    <w:p w:rsidR="00963104" w:rsidRPr="00A52AD2" w:rsidRDefault="00963104" w:rsidP="00300E4A">
                      <w:pPr>
                        <w:spacing w:line="360" w:lineRule="auto"/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</w:pPr>
                      <w:r w:rsidRPr="00A52AD2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  </w:t>
                      </w:r>
                    </w:p>
                    <w:p w:rsidR="008C1F30" w:rsidRDefault="008C1F30" w:rsidP="008D5D4F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A05A63" w:rsidRPr="008D5D4F" w:rsidRDefault="00A05A63" w:rsidP="008D5D4F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A05A63" w:rsidRPr="008D5D4F" w:rsidRDefault="00A05A63" w:rsidP="008D5D4F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A05A63" w:rsidRPr="008D5D4F" w:rsidRDefault="00A05A63" w:rsidP="008D5D4F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A05A63" w:rsidRPr="00D35D67" w:rsidRDefault="00A05A63" w:rsidP="00D35D67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A05A63" w:rsidRPr="00D35D67" w:rsidRDefault="00A05A63" w:rsidP="00D35D67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A05A63" w:rsidRPr="00D35D67" w:rsidRDefault="00A05A63" w:rsidP="00D35D67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A05A63" w:rsidRPr="00D35D67" w:rsidRDefault="00A05A63" w:rsidP="00D35D67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A05A63" w:rsidRDefault="00A05A63" w:rsidP="000C7BB2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A05A63" w:rsidRDefault="00A05A63" w:rsidP="000C7BB2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A05A63" w:rsidRDefault="00A05A63" w:rsidP="000C7BB2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A05A63" w:rsidRPr="00AD65FF" w:rsidRDefault="00A05A63" w:rsidP="000C7BB2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A05A63" w:rsidRPr="001673DA" w:rsidRDefault="00A05A63" w:rsidP="00A677A5">
                      <w:pPr>
                        <w:spacing w:line="36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A05A63" w:rsidRPr="001673DA" w:rsidRDefault="00A05A63" w:rsidP="00A677A5">
                      <w:pPr>
                        <w:spacing w:line="36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A05A63" w:rsidRPr="001673DA" w:rsidRDefault="00A05A63" w:rsidP="00A677A5">
                      <w:pPr>
                        <w:spacing w:line="360" w:lineRule="auto"/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</w:pPr>
                    </w:p>
                    <w:p w:rsidR="00A05A63" w:rsidRPr="001673DA" w:rsidRDefault="00A05A63" w:rsidP="0098488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05A63" w:rsidRPr="001673DA" w:rsidRDefault="00A05A63" w:rsidP="0098488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5A63" w:rsidRDefault="00A05A63" w:rsidP="00192DC1">
      <w:pPr>
        <w:jc w:val="both"/>
        <w:rPr>
          <w:rFonts w:ascii="Arial" w:hAnsi="Arial" w:cs="Arial"/>
        </w:rPr>
      </w:pPr>
    </w:p>
    <w:p w:rsidR="00A05A63" w:rsidRPr="00192DC1" w:rsidRDefault="00A05A63" w:rsidP="00984884">
      <w:pPr>
        <w:ind w:left="426"/>
        <w:jc w:val="both"/>
        <w:rPr>
          <w:rFonts w:ascii="Arial" w:hAnsi="Arial" w:cs="Arial"/>
        </w:rPr>
      </w:pPr>
    </w:p>
    <w:p w:rsidR="00A05A63" w:rsidRDefault="00A05A63" w:rsidP="000A42CF"/>
    <w:p w:rsidR="00A05A63" w:rsidRPr="000A42CF" w:rsidRDefault="00A05A63" w:rsidP="00192DC1">
      <w:pPr>
        <w:ind w:left="426"/>
        <w:jc w:val="center"/>
      </w:pPr>
    </w:p>
    <w:sectPr w:rsidR="00A05A63" w:rsidRPr="000A42CF" w:rsidSect="009B7317">
      <w:headerReference w:type="default" r:id="rId7"/>
      <w:footerReference w:type="default" r:id="rId8"/>
      <w:pgSz w:w="11907" w:h="16840" w:code="9"/>
      <w:pgMar w:top="680" w:right="720" w:bottom="567" w:left="794" w:header="56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CCF" w:rsidRDefault="00627CCF">
      <w:r>
        <w:separator/>
      </w:r>
    </w:p>
  </w:endnote>
  <w:endnote w:type="continuationSeparator" w:id="0">
    <w:p w:rsidR="00627CCF" w:rsidRDefault="0062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63" w:rsidRDefault="00A05A63" w:rsidP="00192DC1">
    <w:pPr>
      <w:ind w:left="708" w:firstLine="708"/>
      <w:jc w:val="both"/>
      <w:rPr>
        <w:rFonts w:ascii="Arial" w:hAnsi="Arial" w:cs="Arial"/>
        <w:color w:val="EA650D"/>
        <w:sz w:val="16"/>
        <w:szCs w:val="16"/>
      </w:rPr>
    </w:pPr>
  </w:p>
  <w:p w:rsidR="00A05A63" w:rsidRDefault="00A05A63" w:rsidP="004805C6">
    <w:pPr>
      <w:ind w:left="708" w:firstLine="568"/>
      <w:rPr>
        <w:rFonts w:ascii="Arial" w:hAnsi="Arial" w:cs="Arial"/>
        <w:color w:val="EA650D"/>
        <w:sz w:val="13"/>
        <w:szCs w:val="13"/>
      </w:rPr>
    </w:pPr>
    <w:r>
      <w:rPr>
        <w:rFonts w:ascii="Arial" w:hAnsi="Arial" w:cs="Arial"/>
        <w:color w:val="EA650D"/>
        <w:sz w:val="13"/>
        <w:szCs w:val="13"/>
      </w:rPr>
      <w:t xml:space="preserve">  Prague City Tourism</w:t>
    </w:r>
    <w:r>
      <w:rPr>
        <w:rFonts w:ascii="Arial" w:hAnsi="Arial" w:cs="Arial"/>
        <w:color w:val="EA650D"/>
        <w:sz w:val="13"/>
        <w:szCs w:val="13"/>
      </w:rPr>
      <w:tab/>
    </w:r>
    <w:r>
      <w:rPr>
        <w:rFonts w:ascii="Arial" w:hAnsi="Arial" w:cs="Arial"/>
        <w:color w:val="EA650D"/>
        <w:sz w:val="13"/>
        <w:szCs w:val="13"/>
      </w:rPr>
      <w:tab/>
    </w:r>
    <w:r>
      <w:rPr>
        <w:rFonts w:ascii="Arial" w:hAnsi="Arial" w:cs="Arial"/>
        <w:color w:val="EA650D"/>
        <w:sz w:val="13"/>
        <w:szCs w:val="13"/>
      </w:rPr>
      <w:tab/>
    </w:r>
    <w:r>
      <w:rPr>
        <w:rFonts w:ascii="Arial" w:hAnsi="Arial" w:cs="Arial"/>
        <w:color w:val="EA650D"/>
        <w:sz w:val="13"/>
        <w:szCs w:val="13"/>
      </w:rPr>
      <w:tab/>
    </w:r>
    <w:r w:rsidRPr="00192DC1">
      <w:rPr>
        <w:rFonts w:ascii="Arial" w:hAnsi="Arial" w:cs="Arial"/>
        <w:color w:val="EA650D"/>
        <w:sz w:val="13"/>
        <w:szCs w:val="13"/>
      </w:rPr>
      <w:t xml:space="preserve">E: </w:t>
    </w:r>
    <w:r w:rsidRPr="00C5115C">
      <w:rPr>
        <w:rFonts w:ascii="Arial" w:hAnsi="Arial" w:cs="Arial"/>
        <w:color w:val="EA650D"/>
        <w:sz w:val="13"/>
        <w:szCs w:val="13"/>
      </w:rPr>
      <w:t>k.bart</w:t>
    </w:r>
    <w:r>
      <w:rPr>
        <w:rFonts w:ascii="Arial" w:hAnsi="Arial" w:cs="Arial"/>
        <w:color w:val="EA650D"/>
        <w:sz w:val="13"/>
        <w:szCs w:val="13"/>
      </w:rPr>
      <w:t>ova@prague.eu</w:t>
    </w:r>
    <w:r w:rsidRPr="00192DC1">
      <w:rPr>
        <w:rFonts w:ascii="Arial" w:hAnsi="Arial" w:cs="Arial"/>
        <w:color w:val="EA650D"/>
        <w:sz w:val="13"/>
        <w:szCs w:val="13"/>
      </w:rPr>
      <w:t xml:space="preserve"> / </w:t>
    </w:r>
    <w:hyperlink r:id="rId1" w:history="1">
      <w:r w:rsidRPr="00192DC1">
        <w:rPr>
          <w:rStyle w:val="Hypertextovodkaz"/>
          <w:rFonts w:ascii="Arial" w:hAnsi="Arial" w:cs="Arial"/>
          <w:color w:val="EA650D"/>
          <w:sz w:val="13"/>
          <w:szCs w:val="13"/>
          <w:u w:val="none"/>
        </w:rPr>
        <w:t>www.prague.eu</w:t>
      </w:r>
    </w:hyperlink>
  </w:p>
  <w:p w:rsidR="00A05A63" w:rsidRDefault="00A05A63" w:rsidP="004805C6">
    <w:pPr>
      <w:ind w:left="568" w:firstLine="708"/>
      <w:rPr>
        <w:rFonts w:ascii="Arial" w:hAnsi="Arial" w:cs="Arial"/>
        <w:color w:val="EA650D"/>
        <w:sz w:val="13"/>
        <w:szCs w:val="13"/>
      </w:rPr>
    </w:pPr>
    <w:r>
      <w:rPr>
        <w:rFonts w:ascii="Arial" w:hAnsi="Arial" w:cs="Arial"/>
        <w:color w:val="EA650D"/>
        <w:sz w:val="13"/>
        <w:szCs w:val="13"/>
      </w:rPr>
      <w:t xml:space="preserve">  </w:t>
    </w:r>
    <w:r w:rsidRPr="00192DC1">
      <w:rPr>
        <w:rFonts w:ascii="Arial" w:hAnsi="Arial" w:cs="Arial"/>
        <w:color w:val="EA650D"/>
        <w:sz w:val="13"/>
        <w:szCs w:val="13"/>
      </w:rPr>
      <w:t>Arbesovo náměstí 70/4 /</w:t>
    </w:r>
    <w:r>
      <w:rPr>
        <w:rFonts w:ascii="Arial" w:hAnsi="Arial" w:cs="Arial"/>
        <w:color w:val="EA650D"/>
        <w:sz w:val="13"/>
        <w:szCs w:val="13"/>
      </w:rPr>
      <w:t xml:space="preserve"> Praha 5 / 150 00 / CZ</w:t>
    </w:r>
    <w:r>
      <w:rPr>
        <w:rFonts w:ascii="Arial" w:hAnsi="Arial" w:cs="Arial"/>
        <w:color w:val="EA650D"/>
        <w:sz w:val="13"/>
        <w:szCs w:val="13"/>
      </w:rPr>
      <w:tab/>
      <w:t xml:space="preserve">        </w:t>
    </w:r>
    <w:r>
      <w:rPr>
        <w:rFonts w:ascii="Arial" w:hAnsi="Arial" w:cs="Arial"/>
        <w:color w:val="EA650D"/>
        <w:sz w:val="13"/>
        <w:szCs w:val="13"/>
      </w:rPr>
      <w:tab/>
    </w:r>
    <w:r w:rsidRPr="00192DC1">
      <w:rPr>
        <w:rFonts w:ascii="Arial" w:hAnsi="Arial" w:cs="Arial"/>
        <w:color w:val="EA650D"/>
        <w:sz w:val="13"/>
        <w:szCs w:val="13"/>
      </w:rPr>
      <w:t>IČ: 00064491 / DIČ: CZ00064491</w:t>
    </w:r>
  </w:p>
  <w:p w:rsidR="00A05A63" w:rsidRPr="009C773C" w:rsidRDefault="00A05A63" w:rsidP="004805C6">
    <w:pPr>
      <w:ind w:left="568" w:firstLine="708"/>
      <w:rPr>
        <w:rFonts w:ascii="Arial" w:hAnsi="Arial" w:cs="Arial"/>
        <w:color w:val="EA650D"/>
        <w:sz w:val="13"/>
        <w:szCs w:val="13"/>
      </w:rPr>
    </w:pPr>
    <w:r>
      <w:rPr>
        <w:rFonts w:ascii="Arial" w:hAnsi="Arial" w:cs="Arial"/>
        <w:color w:val="EA650D"/>
        <w:sz w:val="13"/>
        <w:szCs w:val="13"/>
      </w:rPr>
      <w:t xml:space="preserve">  T</w:t>
    </w:r>
    <w:r w:rsidRPr="00192DC1">
      <w:rPr>
        <w:rFonts w:ascii="Arial" w:hAnsi="Arial" w:cs="Arial"/>
        <w:color w:val="EA650D"/>
        <w:sz w:val="13"/>
        <w:szCs w:val="13"/>
      </w:rPr>
      <w:t xml:space="preserve">: +420 221 714 138 / </w:t>
    </w:r>
    <w:r>
      <w:rPr>
        <w:rFonts w:ascii="Arial" w:hAnsi="Arial" w:cs="Arial"/>
        <w:color w:val="EA650D"/>
        <w:sz w:val="13"/>
        <w:szCs w:val="13"/>
      </w:rPr>
      <w:t xml:space="preserve">M: +420 777 355 999   </w:t>
    </w:r>
    <w:r>
      <w:rPr>
        <w:rFonts w:ascii="Arial" w:hAnsi="Arial" w:cs="Arial"/>
        <w:color w:val="EA650D"/>
        <w:sz w:val="13"/>
        <w:szCs w:val="13"/>
      </w:rPr>
      <w:tab/>
      <w:t xml:space="preserve">        </w:t>
    </w:r>
    <w:r>
      <w:rPr>
        <w:rFonts w:ascii="Arial" w:hAnsi="Arial" w:cs="Arial"/>
        <w:color w:val="EA650D"/>
        <w:sz w:val="13"/>
        <w:szCs w:val="13"/>
      </w:rPr>
      <w:tab/>
    </w:r>
    <w:r w:rsidRPr="00192DC1">
      <w:rPr>
        <w:rFonts w:ascii="Arial" w:hAnsi="Arial" w:cs="Arial"/>
        <w:color w:val="EA650D"/>
        <w:sz w:val="13"/>
        <w:szCs w:val="13"/>
      </w:rPr>
      <w:t>Bankovní spojení: 538011/0100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CCF" w:rsidRDefault="00627CCF">
      <w:r>
        <w:separator/>
      </w:r>
    </w:p>
  </w:footnote>
  <w:footnote w:type="continuationSeparator" w:id="0">
    <w:p w:rsidR="00627CCF" w:rsidRDefault="00627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63" w:rsidRDefault="00647906" w:rsidP="00013B8C">
    <w:pPr>
      <w:pStyle w:val="Zhlav"/>
      <w:tabs>
        <w:tab w:val="left" w:pos="1418"/>
      </w:tabs>
    </w:pPr>
    <w:r>
      <w:rPr>
        <w:noProof/>
      </w:rPr>
      <w:drawing>
        <wp:inline distT="0" distB="0" distL="0" distR="0">
          <wp:extent cx="1657350" cy="679450"/>
          <wp:effectExtent l="0" t="0" r="0" b="6350"/>
          <wp:docPr id="1" name="obrázek 1" descr="prague-city-tourism_logo_cmyk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rague-city-tourism_logo_cmyk_poz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5A63" w:rsidRDefault="00A05A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F0627"/>
    <w:multiLevelType w:val="hybridMultilevel"/>
    <w:tmpl w:val="EB2A2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A41E8"/>
    <w:multiLevelType w:val="hybridMultilevel"/>
    <w:tmpl w:val="8AB00ECC"/>
    <w:lvl w:ilvl="0" w:tplc="8E04CE28">
      <w:numFmt w:val="decimalZero"/>
      <w:lvlText w:val="%1."/>
      <w:lvlJc w:val="left"/>
      <w:pPr>
        <w:ind w:left="996" w:hanging="5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723A5EBE"/>
    <w:multiLevelType w:val="hybridMultilevel"/>
    <w:tmpl w:val="C27A77B6"/>
    <w:lvl w:ilvl="0" w:tplc="B2F03594">
      <w:numFmt w:val="decimalZero"/>
      <w:lvlText w:val="%1."/>
      <w:lvlJc w:val="left"/>
      <w:pPr>
        <w:ind w:left="855" w:hanging="49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504A1B"/>
    <w:multiLevelType w:val="hybridMultilevel"/>
    <w:tmpl w:val="CDEA3D7C"/>
    <w:lvl w:ilvl="0" w:tplc="3564B03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A5"/>
    <w:rsid w:val="0000240F"/>
    <w:rsid w:val="00013B8C"/>
    <w:rsid w:val="000145C2"/>
    <w:rsid w:val="00017412"/>
    <w:rsid w:val="00020645"/>
    <w:rsid w:val="000329BA"/>
    <w:rsid w:val="000365CD"/>
    <w:rsid w:val="00040BC7"/>
    <w:rsid w:val="000650A0"/>
    <w:rsid w:val="000676A6"/>
    <w:rsid w:val="00067C08"/>
    <w:rsid w:val="000814A4"/>
    <w:rsid w:val="0009067E"/>
    <w:rsid w:val="00093C25"/>
    <w:rsid w:val="000A42CF"/>
    <w:rsid w:val="000A7B93"/>
    <w:rsid w:val="000A7D2B"/>
    <w:rsid w:val="000B1139"/>
    <w:rsid w:val="000C147E"/>
    <w:rsid w:val="000C2E11"/>
    <w:rsid w:val="000C3FED"/>
    <w:rsid w:val="000C7BB2"/>
    <w:rsid w:val="000D468C"/>
    <w:rsid w:val="0010008E"/>
    <w:rsid w:val="001002F2"/>
    <w:rsid w:val="00106D3D"/>
    <w:rsid w:val="00110D6A"/>
    <w:rsid w:val="001317F6"/>
    <w:rsid w:val="00134507"/>
    <w:rsid w:val="00137B61"/>
    <w:rsid w:val="001419AD"/>
    <w:rsid w:val="00141EC1"/>
    <w:rsid w:val="00153279"/>
    <w:rsid w:val="00154516"/>
    <w:rsid w:val="00155533"/>
    <w:rsid w:val="00162DEC"/>
    <w:rsid w:val="001673DA"/>
    <w:rsid w:val="00167EE2"/>
    <w:rsid w:val="00170634"/>
    <w:rsid w:val="0017295D"/>
    <w:rsid w:val="00173AA3"/>
    <w:rsid w:val="00175C02"/>
    <w:rsid w:val="00177344"/>
    <w:rsid w:val="0018048A"/>
    <w:rsid w:val="00192DC1"/>
    <w:rsid w:val="001A21BE"/>
    <w:rsid w:val="001A5117"/>
    <w:rsid w:val="001B1D94"/>
    <w:rsid w:val="001B31CD"/>
    <w:rsid w:val="001C010F"/>
    <w:rsid w:val="001D167A"/>
    <w:rsid w:val="001D495F"/>
    <w:rsid w:val="001E4CFB"/>
    <w:rsid w:val="001F6E65"/>
    <w:rsid w:val="00206E7B"/>
    <w:rsid w:val="002074AD"/>
    <w:rsid w:val="002255E0"/>
    <w:rsid w:val="00226EC0"/>
    <w:rsid w:val="00261EE1"/>
    <w:rsid w:val="002632B4"/>
    <w:rsid w:val="002646DF"/>
    <w:rsid w:val="0027425A"/>
    <w:rsid w:val="0027637D"/>
    <w:rsid w:val="002834ED"/>
    <w:rsid w:val="00284866"/>
    <w:rsid w:val="002859C4"/>
    <w:rsid w:val="00286B71"/>
    <w:rsid w:val="00291A2F"/>
    <w:rsid w:val="0029633D"/>
    <w:rsid w:val="002B29D7"/>
    <w:rsid w:val="002B4B38"/>
    <w:rsid w:val="002B6352"/>
    <w:rsid w:val="002B74AE"/>
    <w:rsid w:val="002C4CE9"/>
    <w:rsid w:val="002C5077"/>
    <w:rsid w:val="002D008F"/>
    <w:rsid w:val="002E0AD7"/>
    <w:rsid w:val="002E16A8"/>
    <w:rsid w:val="002F041B"/>
    <w:rsid w:val="002F507D"/>
    <w:rsid w:val="002F6E02"/>
    <w:rsid w:val="00300E4A"/>
    <w:rsid w:val="00320E7F"/>
    <w:rsid w:val="00323895"/>
    <w:rsid w:val="00331293"/>
    <w:rsid w:val="00331D2B"/>
    <w:rsid w:val="00337925"/>
    <w:rsid w:val="003428DF"/>
    <w:rsid w:val="003504A5"/>
    <w:rsid w:val="00355A24"/>
    <w:rsid w:val="00372113"/>
    <w:rsid w:val="00372FEF"/>
    <w:rsid w:val="0038532E"/>
    <w:rsid w:val="00391217"/>
    <w:rsid w:val="003928D4"/>
    <w:rsid w:val="003962CE"/>
    <w:rsid w:val="003A2718"/>
    <w:rsid w:val="003A78A5"/>
    <w:rsid w:val="003B58A5"/>
    <w:rsid w:val="003B654A"/>
    <w:rsid w:val="003C15BE"/>
    <w:rsid w:val="003D2DE6"/>
    <w:rsid w:val="003E256B"/>
    <w:rsid w:val="003E49BC"/>
    <w:rsid w:val="003E654D"/>
    <w:rsid w:val="003F134E"/>
    <w:rsid w:val="003F1B97"/>
    <w:rsid w:val="003F326F"/>
    <w:rsid w:val="003F58A3"/>
    <w:rsid w:val="003F58FE"/>
    <w:rsid w:val="00402F52"/>
    <w:rsid w:val="0041078E"/>
    <w:rsid w:val="00416AEA"/>
    <w:rsid w:val="00417B16"/>
    <w:rsid w:val="004226CD"/>
    <w:rsid w:val="00422CB7"/>
    <w:rsid w:val="00446FB8"/>
    <w:rsid w:val="0045458C"/>
    <w:rsid w:val="004606EE"/>
    <w:rsid w:val="004623AB"/>
    <w:rsid w:val="0046700E"/>
    <w:rsid w:val="00471386"/>
    <w:rsid w:val="00472973"/>
    <w:rsid w:val="00474F20"/>
    <w:rsid w:val="00477FC8"/>
    <w:rsid w:val="004805C6"/>
    <w:rsid w:val="00481F95"/>
    <w:rsid w:val="0048463C"/>
    <w:rsid w:val="0049078D"/>
    <w:rsid w:val="00493228"/>
    <w:rsid w:val="004967EC"/>
    <w:rsid w:val="004A3716"/>
    <w:rsid w:val="004B72AB"/>
    <w:rsid w:val="004D5AAE"/>
    <w:rsid w:val="004D6214"/>
    <w:rsid w:val="004D78A5"/>
    <w:rsid w:val="004E48DC"/>
    <w:rsid w:val="004E651E"/>
    <w:rsid w:val="004F73F5"/>
    <w:rsid w:val="004F76C0"/>
    <w:rsid w:val="005147D0"/>
    <w:rsid w:val="0051490B"/>
    <w:rsid w:val="0051579C"/>
    <w:rsid w:val="00517D48"/>
    <w:rsid w:val="00524915"/>
    <w:rsid w:val="0052666F"/>
    <w:rsid w:val="00527923"/>
    <w:rsid w:val="00532C7A"/>
    <w:rsid w:val="00533C98"/>
    <w:rsid w:val="00534B98"/>
    <w:rsid w:val="0053524D"/>
    <w:rsid w:val="00555A24"/>
    <w:rsid w:val="005611FE"/>
    <w:rsid w:val="005628C5"/>
    <w:rsid w:val="00570B98"/>
    <w:rsid w:val="00581BD3"/>
    <w:rsid w:val="00582CF2"/>
    <w:rsid w:val="00584EA8"/>
    <w:rsid w:val="00590D38"/>
    <w:rsid w:val="0059175F"/>
    <w:rsid w:val="00593194"/>
    <w:rsid w:val="005945F6"/>
    <w:rsid w:val="00596A73"/>
    <w:rsid w:val="00597718"/>
    <w:rsid w:val="005A321F"/>
    <w:rsid w:val="005B0AE6"/>
    <w:rsid w:val="005B574B"/>
    <w:rsid w:val="005C5854"/>
    <w:rsid w:val="005C66EE"/>
    <w:rsid w:val="005D1045"/>
    <w:rsid w:val="005D5B39"/>
    <w:rsid w:val="005E002D"/>
    <w:rsid w:val="005E4981"/>
    <w:rsid w:val="005F0DF6"/>
    <w:rsid w:val="005F4703"/>
    <w:rsid w:val="006027FC"/>
    <w:rsid w:val="00605266"/>
    <w:rsid w:val="00612C55"/>
    <w:rsid w:val="00621B4C"/>
    <w:rsid w:val="00627CCF"/>
    <w:rsid w:val="006374D7"/>
    <w:rsid w:val="00640266"/>
    <w:rsid w:val="006437F1"/>
    <w:rsid w:val="00646B5F"/>
    <w:rsid w:val="00647906"/>
    <w:rsid w:val="00651FFA"/>
    <w:rsid w:val="00656564"/>
    <w:rsid w:val="00662BE5"/>
    <w:rsid w:val="00664C8F"/>
    <w:rsid w:val="006861B7"/>
    <w:rsid w:val="006957D7"/>
    <w:rsid w:val="00697C06"/>
    <w:rsid w:val="006A611F"/>
    <w:rsid w:val="006B07F9"/>
    <w:rsid w:val="006B1C79"/>
    <w:rsid w:val="006B2E21"/>
    <w:rsid w:val="006C035C"/>
    <w:rsid w:val="006C4513"/>
    <w:rsid w:val="006D07D5"/>
    <w:rsid w:val="006D16A0"/>
    <w:rsid w:val="006E2F64"/>
    <w:rsid w:val="006E4DFF"/>
    <w:rsid w:val="006E779C"/>
    <w:rsid w:val="006F77A8"/>
    <w:rsid w:val="00700301"/>
    <w:rsid w:val="007226FA"/>
    <w:rsid w:val="00722951"/>
    <w:rsid w:val="00723493"/>
    <w:rsid w:val="0073359C"/>
    <w:rsid w:val="00733813"/>
    <w:rsid w:val="00735BFD"/>
    <w:rsid w:val="0074742F"/>
    <w:rsid w:val="0075330D"/>
    <w:rsid w:val="0075504A"/>
    <w:rsid w:val="00776A9F"/>
    <w:rsid w:val="00777EBB"/>
    <w:rsid w:val="00780D7E"/>
    <w:rsid w:val="00781412"/>
    <w:rsid w:val="007904B0"/>
    <w:rsid w:val="00791B2B"/>
    <w:rsid w:val="007A2CE8"/>
    <w:rsid w:val="007A51B5"/>
    <w:rsid w:val="007A5515"/>
    <w:rsid w:val="007C60B3"/>
    <w:rsid w:val="007C6517"/>
    <w:rsid w:val="007C6AD1"/>
    <w:rsid w:val="007C705F"/>
    <w:rsid w:val="007D33A3"/>
    <w:rsid w:val="007D3F58"/>
    <w:rsid w:val="007D5C06"/>
    <w:rsid w:val="007E4835"/>
    <w:rsid w:val="007F3929"/>
    <w:rsid w:val="007F7782"/>
    <w:rsid w:val="0080399B"/>
    <w:rsid w:val="00817F96"/>
    <w:rsid w:val="00822621"/>
    <w:rsid w:val="00823389"/>
    <w:rsid w:val="0082783F"/>
    <w:rsid w:val="00827E62"/>
    <w:rsid w:val="00836872"/>
    <w:rsid w:val="008421A9"/>
    <w:rsid w:val="00843AA4"/>
    <w:rsid w:val="008463EC"/>
    <w:rsid w:val="00856066"/>
    <w:rsid w:val="00857F2E"/>
    <w:rsid w:val="008604CD"/>
    <w:rsid w:val="00866F6C"/>
    <w:rsid w:val="008726E7"/>
    <w:rsid w:val="0087274E"/>
    <w:rsid w:val="00892C62"/>
    <w:rsid w:val="008C1A1A"/>
    <w:rsid w:val="008C1F30"/>
    <w:rsid w:val="008C21C9"/>
    <w:rsid w:val="008C5293"/>
    <w:rsid w:val="008D5D4F"/>
    <w:rsid w:val="008E0F2E"/>
    <w:rsid w:val="008E4BC9"/>
    <w:rsid w:val="008E627A"/>
    <w:rsid w:val="008E7E4F"/>
    <w:rsid w:val="008F3E62"/>
    <w:rsid w:val="009005CC"/>
    <w:rsid w:val="00906382"/>
    <w:rsid w:val="009103C7"/>
    <w:rsid w:val="00915CF4"/>
    <w:rsid w:val="009179F6"/>
    <w:rsid w:val="00920D21"/>
    <w:rsid w:val="009249E7"/>
    <w:rsid w:val="00933C99"/>
    <w:rsid w:val="00940EAC"/>
    <w:rsid w:val="009627EE"/>
    <w:rsid w:val="00963104"/>
    <w:rsid w:val="0096625F"/>
    <w:rsid w:val="0098046E"/>
    <w:rsid w:val="00984884"/>
    <w:rsid w:val="009856F0"/>
    <w:rsid w:val="0099222A"/>
    <w:rsid w:val="00997BC5"/>
    <w:rsid w:val="009A15C7"/>
    <w:rsid w:val="009A4091"/>
    <w:rsid w:val="009B2387"/>
    <w:rsid w:val="009B3D5C"/>
    <w:rsid w:val="009B5B1E"/>
    <w:rsid w:val="009B7317"/>
    <w:rsid w:val="009B7A2E"/>
    <w:rsid w:val="009C2EC6"/>
    <w:rsid w:val="009C5907"/>
    <w:rsid w:val="009C7000"/>
    <w:rsid w:val="009C773C"/>
    <w:rsid w:val="009D19E5"/>
    <w:rsid w:val="009D3D38"/>
    <w:rsid w:val="009E3AEB"/>
    <w:rsid w:val="009E4047"/>
    <w:rsid w:val="009F04CA"/>
    <w:rsid w:val="009F1588"/>
    <w:rsid w:val="00A05A63"/>
    <w:rsid w:val="00A072BB"/>
    <w:rsid w:val="00A120C2"/>
    <w:rsid w:val="00A138E6"/>
    <w:rsid w:val="00A21274"/>
    <w:rsid w:val="00A2355B"/>
    <w:rsid w:val="00A27966"/>
    <w:rsid w:val="00A45A8F"/>
    <w:rsid w:val="00A45D47"/>
    <w:rsid w:val="00A4776D"/>
    <w:rsid w:val="00A517A4"/>
    <w:rsid w:val="00A52AD2"/>
    <w:rsid w:val="00A54B7A"/>
    <w:rsid w:val="00A579A1"/>
    <w:rsid w:val="00A648C9"/>
    <w:rsid w:val="00A675F3"/>
    <w:rsid w:val="00A677A5"/>
    <w:rsid w:val="00A721CB"/>
    <w:rsid w:val="00A81F03"/>
    <w:rsid w:val="00A86479"/>
    <w:rsid w:val="00AB5837"/>
    <w:rsid w:val="00AC1EA6"/>
    <w:rsid w:val="00AD65FF"/>
    <w:rsid w:val="00AD78A0"/>
    <w:rsid w:val="00AE1C92"/>
    <w:rsid w:val="00AE4263"/>
    <w:rsid w:val="00AF01FD"/>
    <w:rsid w:val="00B02C08"/>
    <w:rsid w:val="00B053D0"/>
    <w:rsid w:val="00B12194"/>
    <w:rsid w:val="00B15B44"/>
    <w:rsid w:val="00B167ED"/>
    <w:rsid w:val="00B17970"/>
    <w:rsid w:val="00B252AD"/>
    <w:rsid w:val="00B307CE"/>
    <w:rsid w:val="00B33970"/>
    <w:rsid w:val="00B370B6"/>
    <w:rsid w:val="00B37EA5"/>
    <w:rsid w:val="00B41181"/>
    <w:rsid w:val="00B518A1"/>
    <w:rsid w:val="00B54CCF"/>
    <w:rsid w:val="00B56BC6"/>
    <w:rsid w:val="00B61552"/>
    <w:rsid w:val="00B62F3E"/>
    <w:rsid w:val="00B70A4D"/>
    <w:rsid w:val="00B76147"/>
    <w:rsid w:val="00B879D1"/>
    <w:rsid w:val="00B9122B"/>
    <w:rsid w:val="00B9155F"/>
    <w:rsid w:val="00B94ED8"/>
    <w:rsid w:val="00B97DAE"/>
    <w:rsid w:val="00BB307A"/>
    <w:rsid w:val="00BC758D"/>
    <w:rsid w:val="00BE32F6"/>
    <w:rsid w:val="00BF15BC"/>
    <w:rsid w:val="00BF5ADD"/>
    <w:rsid w:val="00C050BC"/>
    <w:rsid w:val="00C23083"/>
    <w:rsid w:val="00C34A57"/>
    <w:rsid w:val="00C467E5"/>
    <w:rsid w:val="00C5115C"/>
    <w:rsid w:val="00C654DB"/>
    <w:rsid w:val="00C905D1"/>
    <w:rsid w:val="00C92431"/>
    <w:rsid w:val="00C9547D"/>
    <w:rsid w:val="00C969EF"/>
    <w:rsid w:val="00CC00FA"/>
    <w:rsid w:val="00CC179B"/>
    <w:rsid w:val="00CC4FD3"/>
    <w:rsid w:val="00CC5077"/>
    <w:rsid w:val="00CC7E45"/>
    <w:rsid w:val="00CD207B"/>
    <w:rsid w:val="00CE363B"/>
    <w:rsid w:val="00CE5062"/>
    <w:rsid w:val="00CF3BB0"/>
    <w:rsid w:val="00D0343C"/>
    <w:rsid w:val="00D05BFB"/>
    <w:rsid w:val="00D073C2"/>
    <w:rsid w:val="00D10008"/>
    <w:rsid w:val="00D208BF"/>
    <w:rsid w:val="00D22A63"/>
    <w:rsid w:val="00D31F7D"/>
    <w:rsid w:val="00D35D67"/>
    <w:rsid w:val="00D43A52"/>
    <w:rsid w:val="00D442D3"/>
    <w:rsid w:val="00D46DC0"/>
    <w:rsid w:val="00D52195"/>
    <w:rsid w:val="00D53B31"/>
    <w:rsid w:val="00D605A6"/>
    <w:rsid w:val="00D6532C"/>
    <w:rsid w:val="00D715D0"/>
    <w:rsid w:val="00D80E3C"/>
    <w:rsid w:val="00D86F0F"/>
    <w:rsid w:val="00D93189"/>
    <w:rsid w:val="00D94081"/>
    <w:rsid w:val="00D96456"/>
    <w:rsid w:val="00DB0101"/>
    <w:rsid w:val="00DB3125"/>
    <w:rsid w:val="00DB6746"/>
    <w:rsid w:val="00DC4704"/>
    <w:rsid w:val="00DC4CE9"/>
    <w:rsid w:val="00DC65C3"/>
    <w:rsid w:val="00DC68A9"/>
    <w:rsid w:val="00DD027A"/>
    <w:rsid w:val="00DE0053"/>
    <w:rsid w:val="00E01B93"/>
    <w:rsid w:val="00E04B0F"/>
    <w:rsid w:val="00E0661D"/>
    <w:rsid w:val="00E1201D"/>
    <w:rsid w:val="00E213CF"/>
    <w:rsid w:val="00E22294"/>
    <w:rsid w:val="00E23C9D"/>
    <w:rsid w:val="00E32CED"/>
    <w:rsid w:val="00E35294"/>
    <w:rsid w:val="00E35441"/>
    <w:rsid w:val="00E4030F"/>
    <w:rsid w:val="00E41A8D"/>
    <w:rsid w:val="00E4684D"/>
    <w:rsid w:val="00E775F2"/>
    <w:rsid w:val="00E901AA"/>
    <w:rsid w:val="00E95595"/>
    <w:rsid w:val="00E95738"/>
    <w:rsid w:val="00EB0DA4"/>
    <w:rsid w:val="00EB5722"/>
    <w:rsid w:val="00EB741C"/>
    <w:rsid w:val="00EB7AF6"/>
    <w:rsid w:val="00EB7E66"/>
    <w:rsid w:val="00EC4106"/>
    <w:rsid w:val="00EC42BF"/>
    <w:rsid w:val="00ED260B"/>
    <w:rsid w:val="00ED70AF"/>
    <w:rsid w:val="00EE177C"/>
    <w:rsid w:val="00EE5C98"/>
    <w:rsid w:val="00EF2466"/>
    <w:rsid w:val="00F01173"/>
    <w:rsid w:val="00F03143"/>
    <w:rsid w:val="00F107F3"/>
    <w:rsid w:val="00F1710B"/>
    <w:rsid w:val="00F260AD"/>
    <w:rsid w:val="00F3452B"/>
    <w:rsid w:val="00F356F6"/>
    <w:rsid w:val="00F37808"/>
    <w:rsid w:val="00F422A2"/>
    <w:rsid w:val="00F52D01"/>
    <w:rsid w:val="00F52ED9"/>
    <w:rsid w:val="00F56694"/>
    <w:rsid w:val="00F60065"/>
    <w:rsid w:val="00F60FE1"/>
    <w:rsid w:val="00F706B5"/>
    <w:rsid w:val="00F745A3"/>
    <w:rsid w:val="00F761E5"/>
    <w:rsid w:val="00F77A6C"/>
    <w:rsid w:val="00F8065A"/>
    <w:rsid w:val="00FA125F"/>
    <w:rsid w:val="00FB147A"/>
    <w:rsid w:val="00FB5D5C"/>
    <w:rsid w:val="00FC13E7"/>
    <w:rsid w:val="00FC5ABE"/>
    <w:rsid w:val="00FD73D8"/>
    <w:rsid w:val="00FE1422"/>
    <w:rsid w:val="00FE4385"/>
    <w:rsid w:val="00FE6188"/>
    <w:rsid w:val="00FF2823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64BC5E29-B790-445A-9289-6CD618F9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8E6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138E6"/>
    <w:pPr>
      <w:keepNext/>
      <w:jc w:val="both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138E6"/>
    <w:rPr>
      <w:rFonts w:ascii="Times New Roman" w:hAnsi="Times New Roman" w:cs="Times New Roman"/>
      <w:b/>
      <w:lang w:eastAsia="cs-CZ"/>
    </w:rPr>
  </w:style>
  <w:style w:type="character" w:styleId="Hypertextovodkaz">
    <w:name w:val="Hyperlink"/>
    <w:basedOn w:val="Standardnpsmoodstavce"/>
    <w:uiPriority w:val="99"/>
    <w:rsid w:val="00A138E6"/>
    <w:rPr>
      <w:rFonts w:cs="Times New Roman"/>
      <w:color w:val="0000FF"/>
      <w:u w:val="single"/>
    </w:rPr>
  </w:style>
  <w:style w:type="character" w:customStyle="1" w:styleId="parent-message1">
    <w:name w:val="parent-message1"/>
    <w:uiPriority w:val="99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rsid w:val="009C2EC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C2EC6"/>
    <w:rPr>
      <w:rFonts w:ascii="Tahoma" w:hAnsi="Tahoma" w:cs="Times New Roman"/>
      <w:sz w:val="16"/>
      <w:lang w:eastAsia="cs-CZ"/>
    </w:rPr>
  </w:style>
  <w:style w:type="paragraph" w:styleId="Zhlav">
    <w:name w:val="header"/>
    <w:basedOn w:val="Normln"/>
    <w:link w:val="ZhlavChar"/>
    <w:uiPriority w:val="99"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F6E65"/>
    <w:rPr>
      <w:rFonts w:ascii="Times New Roman" w:hAnsi="Times New Roman" w:cs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F6E65"/>
    <w:rPr>
      <w:rFonts w:ascii="Times New Roman" w:hAnsi="Times New Roman" w:cs="Times New Roman"/>
      <w:sz w:val="24"/>
      <w:lang w:eastAsia="cs-CZ"/>
    </w:rPr>
  </w:style>
  <w:style w:type="paragraph" w:styleId="Odstavecseseznamem">
    <w:name w:val="List Paragraph"/>
    <w:basedOn w:val="Normln"/>
    <w:uiPriority w:val="99"/>
    <w:qFormat/>
    <w:rsid w:val="0098488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rsid w:val="00EB741C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33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33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33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33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33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gu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tovak\Plocha\TZ_sablona_prechodna_verz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TZ_sablona_prechodna_verze</Template>
  <TotalTime>56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ZPRÁVA/AVÍZO</vt:lpstr>
    </vt:vector>
  </TitlesOfParts>
  <Company>PIS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ZPRÁVA/AVÍZO</dc:title>
  <dc:subject/>
  <dc:creator>bartovak</dc:creator>
  <cp:keywords/>
  <dc:description/>
  <cp:lastModifiedBy>Bártová Kateřina</cp:lastModifiedBy>
  <cp:revision>6</cp:revision>
  <cp:lastPrinted>2016-05-04T08:24:00Z</cp:lastPrinted>
  <dcterms:created xsi:type="dcterms:W3CDTF">2016-05-04T07:31:00Z</dcterms:created>
  <dcterms:modified xsi:type="dcterms:W3CDTF">2016-05-04T09:47:00Z</dcterms:modified>
</cp:coreProperties>
</file>